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1D12F8">
            <w:pPr>
              <w:jc w:val="both"/>
              <w:rPr>
                <w:rFonts w:ascii="Arial" w:hAnsi="Arial"/>
                <w:b/>
                <w:bCs/>
              </w:rPr>
            </w:pPr>
            <w:r>
              <w:rPr>
                <w:rFonts w:ascii="Arial" w:hAnsi="Arial" w:hint="cs"/>
                <w:b/>
                <w:bCs/>
                <w:rtl/>
              </w:rPr>
              <w:t>;</w:t>
            </w:r>
            <w:r w:rsidR="00005C8B">
              <w:rPr>
                <w:rFonts w:ascii="Arial" w:hAnsi="Arial" w:hint="cs"/>
                <w:b/>
                <w:bCs/>
                <w:rtl/>
              </w:rPr>
              <w:t>ב</w:t>
            </w:r>
            <w:r w:rsidR="00005C8B">
              <w:rPr>
                <w:rFonts w:ascii="Arial" w:hAnsi="Arial"/>
                <w:b/>
                <w:bCs/>
                <w:rtl/>
              </w:rPr>
              <w:t xml:space="preserve">פני </w:t>
            </w:r>
          </w:p>
        </w:tc>
        <w:tc>
          <w:tcPr>
            <w:tcW w:w="8077" w:type="dxa"/>
            <w:gridSpan w:val="2"/>
          </w:tcPr>
          <w:p w:rsidR="00694556" w:rsidRDefault="00005C8B">
            <w:pPr>
              <w:rPr>
                <w:rFonts w:ascii="Arial" w:hAnsi="Arial"/>
                <w:b/>
                <w:bCs/>
                <w:rtl/>
              </w:rPr>
            </w:pP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אביגדור דורות</w:t>
            </w:r>
          </w:p>
          <w:p w:rsidR="00694556" w:rsidRPr="00233B89" w:rsidRDefault="00694556">
            <w:pPr>
              <w:rPr>
                <w:rFonts w:ascii="Arial" w:hAnsi="Arial" w:cs="FrankRuehl"/>
                <w:sz w:val="20"/>
                <w:szCs w:val="20"/>
                <w:highlight w:val="yellow"/>
              </w:rPr>
            </w:pPr>
          </w:p>
        </w:tc>
      </w:tr>
      <w:tr w:rsidR="00694556">
        <w:trPr>
          <w:jc w:val="center"/>
        </w:trPr>
        <w:tc>
          <w:tcPr>
            <w:tcW w:w="3249" w:type="dxa"/>
            <w:gridSpan w:val="2"/>
          </w:tcPr>
          <w:p w:rsidR="002D6B88" w:rsidRDefault="00233B89">
            <w:pPr>
              <w:bidi w:val="0"/>
              <w:jc w:val="right"/>
              <w:rPr>
                <w:rFonts w:ascii="Arial" w:hAnsi="Arial"/>
                <w:b/>
                <w:bCs/>
                <w:noProof w:val="0"/>
                <w:sz w:val="26"/>
                <w:szCs w:val="26"/>
                <w:rtl/>
              </w:rPr>
            </w:pPr>
            <w:r>
              <w:rPr>
                <w:rFonts w:ascii="Arial" w:hAnsi="Arial" w:hint="cs"/>
                <w:b/>
                <w:bCs/>
                <w:noProof w:val="0"/>
                <w:sz w:val="26"/>
                <w:szCs w:val="26"/>
                <w:rtl/>
              </w:rPr>
              <w:t>המערערת:</w:t>
            </w:r>
          </w:p>
        </w:tc>
        <w:tc>
          <w:tcPr>
            <w:tcW w:w="5571" w:type="dxa"/>
          </w:tcPr>
          <w:p w:rsidR="00694556" w:rsidRDefault="00986101">
            <w:pPr>
              <w:rPr>
                <w:b/>
                <w:bCs/>
                <w:noProof w:val="0"/>
                <w:sz w:val="26"/>
                <w:szCs w:val="26"/>
                <w:rtl/>
              </w:rPr>
            </w:pPr>
            <w:r>
              <w:rPr>
                <w:rFonts w:ascii="Arial" w:hAnsi="Arial"/>
                <w:b/>
                <w:bCs/>
                <w:noProof w:val="0"/>
                <w:sz w:val="26"/>
                <w:szCs w:val="26"/>
                <w:rtl/>
              </w:rPr>
              <w:t>חברת אמוקו לשמנים ודלק בע"מ</w:t>
            </w:r>
          </w:p>
          <w:p w:rsidR="00233B89" w:rsidRPr="00233B89" w:rsidRDefault="00233B89">
            <w:pPr>
              <w:rPr>
                <w:noProof w:val="0"/>
                <w:sz w:val="26"/>
                <w:szCs w:val="26"/>
              </w:rPr>
            </w:pPr>
            <w:r>
              <w:rPr>
                <w:rFonts w:hint="cs"/>
                <w:noProof w:val="0"/>
                <w:sz w:val="26"/>
                <w:szCs w:val="26"/>
                <w:rtl/>
              </w:rPr>
              <w:t>ע"י ב"כ עו"ד יעקב קסטל</w:t>
            </w:r>
          </w:p>
        </w:tc>
      </w:tr>
      <w:tr w:rsidR="00694556">
        <w:trPr>
          <w:jc w:val="center"/>
        </w:trPr>
        <w:tc>
          <w:tcPr>
            <w:tcW w:w="8820" w:type="dxa"/>
            <w:gridSpan w:val="3"/>
          </w:tcPr>
          <w:p w:rsidR="00694556" w:rsidRPr="00233B89" w:rsidRDefault="00694556">
            <w:pPr>
              <w:rPr>
                <w:rFonts w:ascii="Arial" w:hAnsi="Arial"/>
                <w:b/>
                <w:bCs/>
                <w:noProof w:val="0"/>
                <w:sz w:val="20"/>
                <w:szCs w:val="20"/>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Pr="00233B89" w:rsidRDefault="00694556">
            <w:pPr>
              <w:rPr>
                <w:rFonts w:ascii="Arial" w:hAnsi="Arial"/>
                <w:b/>
                <w:bCs/>
                <w:noProof w:val="0"/>
                <w:sz w:val="16"/>
                <w:szCs w:val="16"/>
              </w:rPr>
            </w:pPr>
          </w:p>
        </w:tc>
      </w:tr>
      <w:tr w:rsidR="00694556">
        <w:trPr>
          <w:jc w:val="center"/>
        </w:trPr>
        <w:tc>
          <w:tcPr>
            <w:tcW w:w="3249" w:type="dxa"/>
            <w:gridSpan w:val="2"/>
          </w:tcPr>
          <w:p w:rsidR="00694556" w:rsidRDefault="00233B89">
            <w:pPr>
              <w:rPr>
                <w:rFonts w:ascii="Arial" w:hAnsi="Arial"/>
                <w:b/>
                <w:bCs/>
                <w:noProof w:val="0"/>
                <w:sz w:val="26"/>
                <w:szCs w:val="26"/>
              </w:rPr>
            </w:pPr>
            <w:r>
              <w:rPr>
                <w:rFonts w:ascii="Arial" w:hAnsi="Arial" w:hint="cs"/>
                <w:b/>
                <w:bCs/>
                <w:noProof w:val="0"/>
                <w:sz w:val="26"/>
                <w:szCs w:val="26"/>
                <w:rtl/>
              </w:rPr>
              <w:t>המשיב:</w:t>
            </w:r>
          </w:p>
        </w:tc>
        <w:tc>
          <w:tcPr>
            <w:tcW w:w="5571" w:type="dxa"/>
          </w:tcPr>
          <w:p w:rsidR="00694556" w:rsidRDefault="00986101">
            <w:pPr>
              <w:rPr>
                <w:b/>
                <w:bCs/>
                <w:noProof w:val="0"/>
                <w:sz w:val="26"/>
                <w:szCs w:val="26"/>
                <w:rtl/>
              </w:rPr>
            </w:pPr>
            <w:r>
              <w:rPr>
                <w:rFonts w:ascii="Arial" w:hAnsi="Arial"/>
                <w:b/>
                <w:bCs/>
                <w:noProof w:val="0"/>
                <w:sz w:val="26"/>
                <w:szCs w:val="26"/>
                <w:rtl/>
              </w:rPr>
              <w:t>פקיד שומה ירושלים (2)</w:t>
            </w:r>
          </w:p>
          <w:p w:rsidR="00233B89" w:rsidRDefault="00233B89">
            <w:pPr>
              <w:rPr>
                <w:noProof w:val="0"/>
                <w:sz w:val="26"/>
                <w:szCs w:val="26"/>
                <w:rtl/>
              </w:rPr>
            </w:pPr>
            <w:r>
              <w:rPr>
                <w:rFonts w:hint="cs"/>
                <w:noProof w:val="0"/>
                <w:sz w:val="26"/>
                <w:szCs w:val="26"/>
                <w:rtl/>
              </w:rPr>
              <w:t>ע"י ב"כ עו"ד נטע גורביץ</w:t>
            </w:r>
          </w:p>
          <w:p w:rsidR="00233B89" w:rsidRPr="00233B89" w:rsidRDefault="00233B89">
            <w:pPr>
              <w:rPr>
                <w:noProof w:val="0"/>
                <w:sz w:val="26"/>
                <w:szCs w:val="26"/>
                <w:rtl/>
              </w:rPr>
            </w:pPr>
            <w:r>
              <w:rPr>
                <w:rFonts w:hint="cs"/>
                <w:noProof w:val="0"/>
                <w:sz w:val="26"/>
                <w:szCs w:val="26"/>
                <w:rtl/>
              </w:rPr>
              <w:t>מפרקליטות מחוז ירושלים (אזרחי)</w:t>
            </w:r>
          </w:p>
        </w:tc>
      </w:tr>
    </w:tbl>
    <w:p w:rsidR="00694556" w:rsidRPr="00233B89" w:rsidRDefault="00694556">
      <w:pPr>
        <w:rPr>
          <w:sz w:val="22"/>
          <w:szCs w:val="22"/>
        </w:rPr>
      </w:pPr>
    </w:p>
    <w:p w:rsidR="00694556" w:rsidRPr="00233B89" w:rsidRDefault="00694556">
      <w:pPr>
        <w:rPr>
          <w:sz w:val="2"/>
          <w:szCs w:val="2"/>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233B89">
      <w:pPr>
        <w:spacing w:line="360" w:lineRule="auto"/>
        <w:jc w:val="both"/>
        <w:rPr>
          <w:rFonts w:ascii="Arial" w:hAnsi="Arial"/>
          <w:noProof w:val="0"/>
          <w:rtl/>
        </w:rPr>
      </w:pPr>
      <w:r>
        <w:rPr>
          <w:rFonts w:ascii="Arial" w:hAnsi="Arial" w:hint="cs"/>
          <w:noProof w:val="0"/>
          <w:rtl/>
        </w:rPr>
        <w:t xml:space="preserve"> </w:t>
      </w:r>
    </w:p>
    <w:p w:rsidR="00233B89" w:rsidRDefault="00233B89">
      <w:pPr>
        <w:spacing w:line="360" w:lineRule="auto"/>
        <w:jc w:val="both"/>
        <w:rPr>
          <w:rFonts w:ascii="Arial" w:hAnsi="Arial"/>
          <w:noProof w:val="0"/>
          <w:rtl/>
        </w:rPr>
      </w:pPr>
      <w:r>
        <w:rPr>
          <w:rFonts w:ascii="Arial" w:hAnsi="Arial" w:hint="cs"/>
          <w:noProof w:val="0"/>
          <w:rtl/>
        </w:rPr>
        <w:t>לפני</w:t>
      </w:r>
      <w:r w:rsidR="007E5FC9">
        <w:rPr>
          <w:rFonts w:ascii="Arial" w:hAnsi="Arial" w:hint="cs"/>
          <w:noProof w:val="0"/>
          <w:rtl/>
        </w:rPr>
        <w:t>י</w:t>
      </w:r>
      <w:r>
        <w:rPr>
          <w:rFonts w:ascii="Arial" w:hAnsi="Arial" w:hint="cs"/>
          <w:noProof w:val="0"/>
          <w:rtl/>
        </w:rPr>
        <w:t xml:space="preserve"> ערעור על שומה לפי מיטב השפיטה לשנות המס 2013-2016 ועל קנס הגרעון שהוטל. כמו כן, הוגש ערעור על החלטת פסילת ספריה של המערערת. </w:t>
      </w:r>
    </w:p>
    <w:p w:rsidR="00233B89" w:rsidRDefault="00233B89">
      <w:pPr>
        <w:spacing w:line="360" w:lineRule="auto"/>
        <w:jc w:val="both"/>
        <w:rPr>
          <w:rFonts w:ascii="Arial" w:hAnsi="Arial"/>
          <w:noProof w:val="0"/>
          <w:rtl/>
        </w:rPr>
      </w:pPr>
    </w:p>
    <w:p w:rsidR="00233B89" w:rsidRDefault="00233B89">
      <w:pPr>
        <w:spacing w:line="360" w:lineRule="auto"/>
        <w:jc w:val="both"/>
        <w:rPr>
          <w:rFonts w:ascii="Arial" w:hAnsi="Arial"/>
          <w:b/>
          <w:bCs/>
          <w:noProof w:val="0"/>
          <w:u w:val="single"/>
          <w:rtl/>
        </w:rPr>
      </w:pPr>
      <w:r>
        <w:rPr>
          <w:rFonts w:ascii="Arial" w:hAnsi="Arial" w:hint="cs"/>
          <w:b/>
          <w:bCs/>
          <w:noProof w:val="0"/>
          <w:u w:val="single"/>
          <w:rtl/>
        </w:rPr>
        <w:t>גדר המחלוקת</w:t>
      </w:r>
    </w:p>
    <w:p w:rsidR="00233B89" w:rsidRDefault="00233B89" w:rsidP="00233B89">
      <w:pPr>
        <w:pStyle w:val="ad"/>
        <w:numPr>
          <w:ilvl w:val="0"/>
          <w:numId w:val="1"/>
        </w:numPr>
        <w:spacing w:line="360" w:lineRule="auto"/>
        <w:jc w:val="both"/>
        <w:rPr>
          <w:rFonts w:ascii="Arial" w:hAnsi="Arial"/>
          <w:noProof w:val="0"/>
        </w:rPr>
      </w:pPr>
      <w:r>
        <w:rPr>
          <w:rFonts w:ascii="Arial" w:hAnsi="Arial" w:hint="cs"/>
          <w:noProof w:val="0"/>
          <w:rtl/>
        </w:rPr>
        <w:t xml:space="preserve">לטענת המערערת, המשיב לא קיים דיון בהשגה שהגישה המערערת, על רקע הימצאותו של מייצגה בבידוד עקב הדבקות בנגיף הקורונה. נטען, כי המשיב לא קיים את חובתו לדון ברצינות בהשגה ועל כן החלטתו להוציא שומה בצו לא יכולה לעמוד. בכל הנוגע להחלטה לפסילת הספרים, נטען כי טעה המשיב כאשר טען שלא הוגשה בקשה לחזור ולעיין בהחלטה, בהתאם לסעיף 130(יא)(2) לפקודת מס הכנסה [נוסח חדש], התשכ"א-1961 (להלן: </w:t>
      </w:r>
      <w:r>
        <w:rPr>
          <w:rFonts w:ascii="Arial" w:hAnsi="Arial" w:hint="cs"/>
          <w:b/>
          <w:bCs/>
          <w:noProof w:val="0"/>
          <w:rtl/>
        </w:rPr>
        <w:t>"הפקודה"</w:t>
      </w:r>
      <w:r>
        <w:rPr>
          <w:rFonts w:ascii="Arial" w:hAnsi="Arial" w:hint="cs"/>
          <w:noProof w:val="0"/>
          <w:rtl/>
        </w:rPr>
        <w:t>), שכן הוגשה גם הוגשה בקשה כאמור ביום 9.4.2019 (נספח ד' להודעה המפרשת את נימוקי הערעור)</w:t>
      </w:r>
      <w:r w:rsidR="00A03742">
        <w:rPr>
          <w:rFonts w:ascii="Arial" w:hAnsi="Arial" w:hint="cs"/>
          <w:noProof w:val="0"/>
          <w:rtl/>
        </w:rPr>
        <w:t xml:space="preserve">. על גבי הבקשה מופיעה חותמת "נתקבל" מיום 11.4.2019, אולם המשיב לא דן בבקשה ולא הכריע בה. </w:t>
      </w:r>
    </w:p>
    <w:p w:rsidR="00A03742" w:rsidRDefault="00A03742" w:rsidP="00A03742">
      <w:pPr>
        <w:spacing w:line="360" w:lineRule="auto"/>
        <w:jc w:val="both"/>
        <w:rPr>
          <w:rFonts w:ascii="Arial" w:hAnsi="Arial"/>
          <w:noProof w:val="0"/>
          <w:rtl/>
        </w:rPr>
      </w:pPr>
    </w:p>
    <w:p w:rsidR="00A03742" w:rsidRDefault="00A03742" w:rsidP="00A03742">
      <w:pPr>
        <w:pStyle w:val="ad"/>
        <w:numPr>
          <w:ilvl w:val="0"/>
          <w:numId w:val="1"/>
        </w:numPr>
        <w:spacing w:line="360" w:lineRule="auto"/>
        <w:jc w:val="both"/>
        <w:rPr>
          <w:rFonts w:ascii="Arial" w:hAnsi="Arial"/>
          <w:noProof w:val="0"/>
        </w:rPr>
      </w:pPr>
      <w:r>
        <w:rPr>
          <w:rFonts w:ascii="Arial" w:hAnsi="Arial" w:hint="cs"/>
          <w:noProof w:val="0"/>
          <w:rtl/>
        </w:rPr>
        <w:t xml:space="preserve">במהלך קדם המשפט, המליץ בית משפט זה למשיב לשקול את האפשרות כי התיק יוחזר לשלב ההשגה, לאור ההתרשמות כי הדיון בשלב ההשגה (דיון טלפוני) לא היה ממצה. </w:t>
      </w:r>
    </w:p>
    <w:p w:rsidR="00A03742" w:rsidRPr="00A03742" w:rsidRDefault="00A03742" w:rsidP="00A03742">
      <w:pPr>
        <w:pStyle w:val="ad"/>
        <w:rPr>
          <w:rFonts w:ascii="Arial" w:hAnsi="Arial"/>
          <w:noProof w:val="0"/>
          <w:rtl/>
        </w:rPr>
      </w:pPr>
    </w:p>
    <w:p w:rsidR="00A03742" w:rsidRDefault="00A03742" w:rsidP="00FE1C3C">
      <w:pPr>
        <w:pStyle w:val="ad"/>
        <w:numPr>
          <w:ilvl w:val="0"/>
          <w:numId w:val="1"/>
        </w:numPr>
        <w:spacing w:line="360" w:lineRule="auto"/>
        <w:jc w:val="both"/>
        <w:rPr>
          <w:rFonts w:ascii="Arial" w:hAnsi="Arial"/>
          <w:noProof w:val="0"/>
        </w:rPr>
      </w:pPr>
      <w:r>
        <w:rPr>
          <w:rFonts w:ascii="Arial" w:hAnsi="Arial" w:hint="cs"/>
          <w:noProof w:val="0"/>
          <w:rtl/>
        </w:rPr>
        <w:t>ברקע ההליך יש לציין, כי למערערת הייתה פעילות של מסחר בסיטונאות</w:t>
      </w:r>
      <w:r w:rsidR="007E5FC9">
        <w:rPr>
          <w:rFonts w:ascii="Arial" w:hAnsi="Arial" w:hint="cs"/>
          <w:noProof w:val="0"/>
          <w:rtl/>
        </w:rPr>
        <w:t>, בסולר</w:t>
      </w:r>
      <w:r>
        <w:rPr>
          <w:rFonts w:ascii="Arial" w:hAnsi="Arial" w:hint="cs"/>
          <w:noProof w:val="0"/>
          <w:rtl/>
        </w:rPr>
        <w:t xml:space="preserve"> ובדלק. המערערת דיווחה על רווח גולמי בשיעורים שבין 4.12% ובין 6%, בעוד שהמשיב טען כי הרווח המדווח הינו נמוך בצורה ניכרת מהמקובל בענף, אשר נע בין 7% ובין 10%, לפי התדריך הכלכלי של רשות המסים. עוד יצוין, כי המערערת הורשעה בעבירות של ניכוי תשומות ללא מסמך בהתאם לסעיף 38 לחוק מס ערך מוסף, תשל"</w:t>
      </w:r>
      <w:r w:rsidR="00FE1C3C">
        <w:rPr>
          <w:rFonts w:ascii="Arial" w:hAnsi="Arial" w:hint="cs"/>
          <w:noProof w:val="0"/>
          <w:rtl/>
        </w:rPr>
        <w:t>ו</w:t>
      </w:r>
      <w:r>
        <w:rPr>
          <w:rFonts w:ascii="Arial" w:hAnsi="Arial" w:hint="cs"/>
          <w:noProof w:val="0"/>
          <w:rtl/>
        </w:rPr>
        <w:t xml:space="preserve">-1975 </w:t>
      </w:r>
      <w:r w:rsidR="007E5FC9">
        <w:rPr>
          <w:rFonts w:ascii="Arial" w:hAnsi="Arial" w:hint="cs"/>
          <w:noProof w:val="0"/>
          <w:rtl/>
        </w:rPr>
        <w:t xml:space="preserve">(להלן: </w:t>
      </w:r>
      <w:r w:rsidR="007E5FC9">
        <w:rPr>
          <w:rFonts w:ascii="Arial" w:hAnsi="Arial" w:hint="cs"/>
          <w:b/>
          <w:bCs/>
          <w:noProof w:val="0"/>
          <w:rtl/>
        </w:rPr>
        <w:t>"חוק מע"מ"</w:t>
      </w:r>
      <w:r w:rsidR="007E5FC9">
        <w:rPr>
          <w:rFonts w:ascii="Arial" w:hAnsi="Arial" w:hint="cs"/>
          <w:noProof w:val="0"/>
          <w:rtl/>
        </w:rPr>
        <w:t xml:space="preserve">) </w:t>
      </w:r>
      <w:r>
        <w:rPr>
          <w:rFonts w:ascii="Arial" w:hAnsi="Arial" w:hint="cs"/>
          <w:noProof w:val="0"/>
          <w:rtl/>
        </w:rPr>
        <w:t>במטרה להתחמק מתשלום מס לפי סעיף 117(ב)(5) לחוק מע"מ בנסיבות מחמירות (ת"פ 71033-11-16). הערעור שהגישה המערערת על פסק הדין המרשיע נדחה בבית המשפט המחוזי (ע"פ 37183-11-18). בקשת רשות ערעור לבית המשפט העליון נדחתה אף היא (רע"פ 5140/19).</w:t>
      </w:r>
    </w:p>
    <w:p w:rsidR="00A03742" w:rsidRPr="00A03742" w:rsidRDefault="00A03742" w:rsidP="00A03742">
      <w:pPr>
        <w:pStyle w:val="ad"/>
        <w:rPr>
          <w:rFonts w:ascii="Arial" w:hAnsi="Arial"/>
          <w:noProof w:val="0"/>
          <w:rtl/>
        </w:rPr>
      </w:pPr>
    </w:p>
    <w:p w:rsidR="00A03742" w:rsidRDefault="00A03742" w:rsidP="00A03742">
      <w:pPr>
        <w:pStyle w:val="ad"/>
        <w:numPr>
          <w:ilvl w:val="0"/>
          <w:numId w:val="1"/>
        </w:numPr>
        <w:spacing w:line="360" w:lineRule="auto"/>
        <w:jc w:val="both"/>
        <w:rPr>
          <w:rFonts w:ascii="Arial" w:hAnsi="Arial"/>
          <w:noProof w:val="0"/>
        </w:rPr>
      </w:pPr>
      <w:r>
        <w:rPr>
          <w:rFonts w:ascii="Arial" w:hAnsi="Arial" w:hint="cs"/>
          <w:noProof w:val="0"/>
          <w:rtl/>
        </w:rPr>
        <w:t xml:space="preserve">בעקבות קדם המשפט הודיע המשיב כי בהתאם להמלצת בית המשפט הוא מסכים להחזרת התיק לשלב ההשגה ובהתאם לכך, יש מקום למחיקת הערעור. </w:t>
      </w:r>
    </w:p>
    <w:p w:rsidR="00A03742" w:rsidRPr="00A03742" w:rsidRDefault="00A03742" w:rsidP="00A03742">
      <w:pPr>
        <w:pStyle w:val="ad"/>
        <w:rPr>
          <w:rFonts w:ascii="Arial" w:hAnsi="Arial"/>
          <w:noProof w:val="0"/>
          <w:rtl/>
        </w:rPr>
      </w:pPr>
    </w:p>
    <w:p w:rsidR="00A03742" w:rsidRDefault="00A03742" w:rsidP="00A03742">
      <w:pPr>
        <w:pStyle w:val="ad"/>
        <w:numPr>
          <w:ilvl w:val="0"/>
          <w:numId w:val="1"/>
        </w:numPr>
        <w:spacing w:line="360" w:lineRule="auto"/>
        <w:jc w:val="both"/>
        <w:rPr>
          <w:rFonts w:ascii="Arial" w:hAnsi="Arial"/>
          <w:noProof w:val="0"/>
        </w:rPr>
      </w:pPr>
      <w:r>
        <w:rPr>
          <w:rFonts w:ascii="Arial" w:hAnsi="Arial" w:hint="cs"/>
          <w:noProof w:val="0"/>
          <w:rtl/>
        </w:rPr>
        <w:t>בתגובה להודעת המשיב, טענה המערערת כי אין עילה למחיקת הערעור וכי יש מקום למתן פסק דין המחזיר את הדיון לשלב ההשגה בכפוף לחיוב המשיב בהוצאות. בנוסף, טענה המערערת כי יש מקום למתן פסק דין המבטל את פסילת ספרי המערערת, לאור כך שהמשיב לא דן בבקשת מייצג המערערת ולא הכריע בה במשך שנה מיום ה</w:t>
      </w:r>
      <w:r w:rsidR="00CE0AC5">
        <w:rPr>
          <w:rFonts w:ascii="Arial" w:hAnsi="Arial" w:hint="cs"/>
          <w:noProof w:val="0"/>
          <w:rtl/>
        </w:rPr>
        <w:t xml:space="preserve">גשתה. </w:t>
      </w:r>
    </w:p>
    <w:p w:rsidR="00CE0AC5" w:rsidRPr="00CE0AC5" w:rsidRDefault="00CE0AC5" w:rsidP="00CE0AC5">
      <w:pPr>
        <w:pStyle w:val="ad"/>
        <w:rPr>
          <w:rFonts w:ascii="Arial" w:hAnsi="Arial"/>
          <w:noProof w:val="0"/>
          <w:rtl/>
        </w:rPr>
      </w:pPr>
    </w:p>
    <w:p w:rsidR="00CE0AC5" w:rsidRDefault="00CE0AC5" w:rsidP="005937A3">
      <w:pPr>
        <w:pStyle w:val="ad"/>
        <w:numPr>
          <w:ilvl w:val="0"/>
          <w:numId w:val="1"/>
        </w:numPr>
        <w:spacing w:line="360" w:lineRule="auto"/>
        <w:jc w:val="both"/>
        <w:rPr>
          <w:rFonts w:ascii="Arial" w:hAnsi="Arial"/>
          <w:noProof w:val="0"/>
        </w:rPr>
      </w:pPr>
      <w:r>
        <w:rPr>
          <w:rFonts w:ascii="Arial" w:hAnsi="Arial" w:hint="cs"/>
          <w:noProof w:val="0"/>
          <w:rtl/>
        </w:rPr>
        <w:t>על פי תשובת המשיב, עמדתו היא כי אין הוא מתנגד שיינתן פסק דין</w:t>
      </w:r>
      <w:r w:rsidR="005937A3">
        <w:rPr>
          <w:rFonts w:ascii="Arial" w:hAnsi="Arial" w:hint="cs"/>
          <w:noProof w:val="0"/>
          <w:rtl/>
        </w:rPr>
        <w:t xml:space="preserve"> המורה על החזרת התיק לשלב ההשגה, תוך התנגדות לחיובו בהוצאות. ביחס לסוגית פסילת הספרים טען המשיב כי ככול שיוחלט להחזיר את התיק לשלב ההשגה, טענות המערערת לגבי פסילת הספרים יישמרו לה והמקום המתאים </w:t>
      </w:r>
      <w:r w:rsidR="007E5FC9">
        <w:rPr>
          <w:rFonts w:ascii="Arial" w:hAnsi="Arial" w:hint="cs"/>
          <w:noProof w:val="0"/>
          <w:rtl/>
        </w:rPr>
        <w:t>לדון בהן הוא</w:t>
      </w:r>
      <w:r w:rsidR="005937A3">
        <w:rPr>
          <w:rFonts w:ascii="Arial" w:hAnsi="Arial" w:hint="cs"/>
          <w:noProof w:val="0"/>
          <w:rtl/>
        </w:rPr>
        <w:t xml:space="preserve"> במסגרת הליך חדש. </w:t>
      </w:r>
    </w:p>
    <w:p w:rsidR="005937A3" w:rsidRPr="005937A3" w:rsidRDefault="005937A3" w:rsidP="005937A3">
      <w:pPr>
        <w:pStyle w:val="ad"/>
        <w:rPr>
          <w:rFonts w:ascii="Arial" w:hAnsi="Arial"/>
          <w:noProof w:val="0"/>
          <w:rtl/>
        </w:rPr>
      </w:pPr>
    </w:p>
    <w:p w:rsidR="005937A3" w:rsidRDefault="005937A3" w:rsidP="005937A3">
      <w:pPr>
        <w:spacing w:line="360" w:lineRule="auto"/>
        <w:jc w:val="both"/>
        <w:rPr>
          <w:rFonts w:ascii="Arial" w:hAnsi="Arial"/>
          <w:b/>
          <w:bCs/>
          <w:noProof w:val="0"/>
          <w:u w:val="single"/>
          <w:rtl/>
        </w:rPr>
      </w:pPr>
      <w:r>
        <w:rPr>
          <w:rFonts w:ascii="Arial" w:hAnsi="Arial" w:hint="cs"/>
          <w:b/>
          <w:bCs/>
          <w:noProof w:val="0"/>
          <w:u w:val="single"/>
          <w:rtl/>
        </w:rPr>
        <w:t>דיון והכרעה</w:t>
      </w:r>
    </w:p>
    <w:p w:rsidR="005937A3" w:rsidRDefault="005937A3" w:rsidP="005937A3">
      <w:pPr>
        <w:pStyle w:val="ad"/>
        <w:numPr>
          <w:ilvl w:val="0"/>
          <w:numId w:val="1"/>
        </w:numPr>
        <w:spacing w:line="360" w:lineRule="auto"/>
        <w:jc w:val="both"/>
        <w:rPr>
          <w:rFonts w:ascii="Arial" w:hAnsi="Arial"/>
          <w:noProof w:val="0"/>
        </w:rPr>
      </w:pPr>
      <w:r>
        <w:rPr>
          <w:rFonts w:ascii="Arial" w:hAnsi="Arial" w:hint="cs"/>
          <w:noProof w:val="0"/>
          <w:rtl/>
        </w:rPr>
        <w:t xml:space="preserve">החזרת הדיון בשומה לשלב ההשגה היא מתבקשת בנסיבות העניין. הטעמים לכך נעוצים באופן הטיפול בהשגה, שלא היה ממצה, עקב המצאות המייצג של המערערת בבידוד. זאת ועוד, בקדם המשפט התברר כי המערערת מכרה דלקים לכאורה לשלושה גורמים (תחנות תדלוק, חברות הסעות ולקבלנים), בעוד שההחלטה בהשגה לא הבחינה בין סוגי הלקוחות לעניין שיעור הרווח הגולמי. </w:t>
      </w:r>
    </w:p>
    <w:p w:rsidR="00694556" w:rsidRDefault="00694556">
      <w:pPr>
        <w:spacing w:line="360" w:lineRule="auto"/>
        <w:jc w:val="both"/>
        <w:rPr>
          <w:rFonts w:ascii="Arial" w:hAnsi="Arial"/>
          <w:noProof w:val="0"/>
          <w:rtl/>
        </w:rPr>
      </w:pPr>
    </w:p>
    <w:p w:rsidR="005937A3" w:rsidRDefault="005937A3" w:rsidP="005937A3">
      <w:pPr>
        <w:pStyle w:val="ad"/>
        <w:numPr>
          <w:ilvl w:val="0"/>
          <w:numId w:val="1"/>
        </w:numPr>
        <w:spacing w:line="360" w:lineRule="auto"/>
        <w:jc w:val="both"/>
        <w:rPr>
          <w:rFonts w:ascii="Arial" w:hAnsi="Arial"/>
          <w:noProof w:val="0"/>
        </w:rPr>
      </w:pPr>
      <w:r>
        <w:rPr>
          <w:rFonts w:ascii="Arial" w:hAnsi="Arial" w:hint="cs"/>
          <w:noProof w:val="0"/>
          <w:rtl/>
        </w:rPr>
        <w:t xml:space="preserve">למעשה, הצדדים הסכימו להשיב את הדיון לשלב ההשגה, וחילוקי הדעות שנותרו בסוגיה זו עניינם בשאלה, האם יש מקום לחיוב המשיב בהוצאות. לסוגיה זו אתייחס בהמשך. </w:t>
      </w:r>
    </w:p>
    <w:p w:rsidR="005937A3" w:rsidRPr="005937A3" w:rsidRDefault="005937A3" w:rsidP="005937A3">
      <w:pPr>
        <w:pStyle w:val="ad"/>
        <w:rPr>
          <w:rFonts w:ascii="Arial" w:hAnsi="Arial"/>
          <w:noProof w:val="0"/>
          <w:rtl/>
        </w:rPr>
      </w:pPr>
    </w:p>
    <w:p w:rsidR="005937A3" w:rsidRDefault="005937A3" w:rsidP="005937A3">
      <w:pPr>
        <w:pStyle w:val="ad"/>
        <w:numPr>
          <w:ilvl w:val="0"/>
          <w:numId w:val="1"/>
        </w:numPr>
        <w:spacing w:line="360" w:lineRule="auto"/>
        <w:jc w:val="both"/>
        <w:rPr>
          <w:rFonts w:ascii="Arial" w:hAnsi="Arial"/>
          <w:noProof w:val="0"/>
        </w:rPr>
      </w:pPr>
      <w:r>
        <w:rPr>
          <w:rFonts w:ascii="Arial" w:hAnsi="Arial" w:hint="cs"/>
          <w:noProof w:val="0"/>
          <w:rtl/>
        </w:rPr>
        <w:t xml:space="preserve">המחלוקת </w:t>
      </w:r>
      <w:r w:rsidR="007E5FC9">
        <w:rPr>
          <w:rFonts w:ascii="Arial" w:hAnsi="Arial" w:hint="cs"/>
          <w:noProof w:val="0"/>
          <w:rtl/>
        </w:rPr>
        <w:t>ה</w:t>
      </w:r>
      <w:r>
        <w:rPr>
          <w:rFonts w:ascii="Arial" w:hAnsi="Arial" w:hint="cs"/>
          <w:noProof w:val="0"/>
          <w:rtl/>
        </w:rPr>
        <w:t>נוספת שבין הצדדים נוגעת לסוגית פסילת הספרים. לטענת המערערת, מאחר והמשיב לא הכריע בבקשה לפי סעיף 130(יא)(2) לפקודה (בקשה לחזור ולעיין בהחלטת הפסילה ולשנותה) תוך שנה מיום הגשתה, יש לראות את הבקשה, כאילו התקבלה, תוך</w:t>
      </w:r>
      <w:r w:rsidR="00D26588">
        <w:rPr>
          <w:rFonts w:ascii="Arial" w:hAnsi="Arial" w:hint="cs"/>
          <w:noProof w:val="0"/>
          <w:rtl/>
        </w:rPr>
        <w:t xml:space="preserve"> היקש וגזירה שווה מסעיף 152(ג) לפקודה וגם על פי חובת ההגינות המנהלית ועל פי עקרון השיוויון בין הרשות והנישומים. הטענה האחרונה נוגעת למגבלת הזמן (של 30 ימים) הקבועה להגשת בקשה לפי סעיף 130(יא)(2) לפקודה ולתוצאה של אי הגשת בקשת הנישום במועד, שתוצאתה כי ההחלטה הופכת להיות סופית. </w:t>
      </w:r>
    </w:p>
    <w:p w:rsidR="00D26588" w:rsidRPr="00D26588" w:rsidRDefault="00D26588" w:rsidP="00D26588">
      <w:pPr>
        <w:pStyle w:val="ad"/>
        <w:rPr>
          <w:rFonts w:ascii="Arial" w:hAnsi="Arial"/>
          <w:noProof w:val="0"/>
          <w:rtl/>
        </w:rPr>
      </w:pPr>
    </w:p>
    <w:p w:rsidR="00D26588" w:rsidRDefault="00D26588" w:rsidP="005937A3">
      <w:pPr>
        <w:pStyle w:val="ad"/>
        <w:numPr>
          <w:ilvl w:val="0"/>
          <w:numId w:val="1"/>
        </w:numPr>
        <w:spacing w:line="360" w:lineRule="auto"/>
        <w:jc w:val="both"/>
        <w:rPr>
          <w:rFonts w:ascii="Arial" w:hAnsi="Arial"/>
          <w:noProof w:val="0"/>
        </w:rPr>
      </w:pPr>
      <w:r>
        <w:rPr>
          <w:rFonts w:ascii="Arial" w:hAnsi="Arial" w:hint="cs"/>
          <w:noProof w:val="0"/>
          <w:rtl/>
        </w:rPr>
        <w:t>סעיף 152 לפקודה עוסק בהגשת השגה על שומה שנערכה לנישום. על פי הוראה זו, לאחר שהנישום הגיש השגה על השומה ולא הושג בין הצדדים הסכם, יקבע פקיד השומה את המס בצו. סעיף קטן (ג) קובע כי אם בתום שנה מיום שהוגשה השגה לא הושג הסכם ופקיד השומה לא השתמש בסמכויותיו לקביעת המס בצו, יראו את ההשגה כאילו התקבלה. בענייננו, אין מחלוקת כי המשיב לא החליט בבקשת המערערת לחזור ולעיין בהחלטת פסילת הספרים, אולם הוראה דומה להוראת סעיף 152(ג) לפקודה אין בנמצא, ביחס לאי קבלת</w:t>
      </w:r>
      <w:r w:rsidR="007E5FC9">
        <w:rPr>
          <w:rFonts w:ascii="Arial" w:hAnsi="Arial" w:hint="cs"/>
          <w:noProof w:val="0"/>
          <w:rtl/>
        </w:rPr>
        <w:t xml:space="preserve"> החלטה בבקשה לעיון חוזר בהחלטת פסילת </w:t>
      </w:r>
      <w:r w:rsidR="00FE1C3C">
        <w:rPr>
          <w:rFonts w:ascii="Arial" w:hAnsi="Arial" w:hint="cs"/>
          <w:noProof w:val="0"/>
          <w:rtl/>
        </w:rPr>
        <w:t>ה</w:t>
      </w:r>
      <w:r>
        <w:rPr>
          <w:rFonts w:ascii="Arial" w:hAnsi="Arial" w:hint="cs"/>
          <w:noProof w:val="0"/>
          <w:rtl/>
        </w:rPr>
        <w:t xml:space="preserve">ספרים. סעיף 130 אינו קובע מועד "קשיח" למתן </w:t>
      </w:r>
      <w:r>
        <w:rPr>
          <w:rFonts w:ascii="Arial" w:hAnsi="Arial" w:hint="cs"/>
          <w:noProof w:val="0"/>
          <w:rtl/>
        </w:rPr>
        <w:lastRenderedPageBreak/>
        <w:t xml:space="preserve">החלטת פקיד השומה בבקשה לעיון חוזר ואינו קובע הסדר מפורש לפיו איחור בקבלת ההחלטה בבקשת הנישום, משמעו שיראו את הבקשה כאילו התקבלה. </w:t>
      </w:r>
    </w:p>
    <w:p w:rsidR="00D26588" w:rsidRPr="00D26588" w:rsidRDefault="00D26588" w:rsidP="00D26588">
      <w:pPr>
        <w:pStyle w:val="ad"/>
        <w:rPr>
          <w:rFonts w:ascii="Arial" w:hAnsi="Arial"/>
          <w:noProof w:val="0"/>
          <w:rtl/>
        </w:rPr>
      </w:pPr>
    </w:p>
    <w:p w:rsidR="00D26588" w:rsidRDefault="002E727C" w:rsidP="00461744">
      <w:pPr>
        <w:pStyle w:val="ad"/>
        <w:numPr>
          <w:ilvl w:val="0"/>
          <w:numId w:val="1"/>
        </w:numPr>
        <w:spacing w:line="360" w:lineRule="auto"/>
        <w:jc w:val="both"/>
        <w:rPr>
          <w:rFonts w:ascii="Arial" w:hAnsi="Arial"/>
          <w:noProof w:val="0"/>
        </w:rPr>
      </w:pPr>
      <w:r>
        <w:rPr>
          <w:rFonts w:ascii="Arial" w:hAnsi="Arial" w:hint="cs"/>
          <w:noProof w:val="0"/>
          <w:rtl/>
        </w:rPr>
        <w:t xml:space="preserve">בסוגיה זו ניתן להפנות להחלטת בית המשפט העליון בבר"ם 7502/22 </w:t>
      </w:r>
      <w:r>
        <w:rPr>
          <w:rFonts w:ascii="Arial" w:hAnsi="Arial" w:hint="cs"/>
          <w:b/>
          <w:bCs/>
          <w:noProof w:val="0"/>
          <w:rtl/>
        </w:rPr>
        <w:t>רשות המיסים נ' פודולסקי</w:t>
      </w:r>
      <w:r>
        <w:rPr>
          <w:rFonts w:ascii="Arial" w:hAnsi="Arial" w:hint="cs"/>
          <w:noProof w:val="0"/>
          <w:rtl/>
        </w:rPr>
        <w:t xml:space="preserve"> (22.1.23)</w:t>
      </w:r>
      <w:r w:rsidR="00461744">
        <w:rPr>
          <w:rFonts w:ascii="Arial" w:hAnsi="Arial" w:hint="cs"/>
          <w:noProof w:val="0"/>
          <w:rtl/>
        </w:rPr>
        <w:t>, שדנה בהשלכות</w:t>
      </w:r>
      <w:r>
        <w:rPr>
          <w:rFonts w:ascii="Arial" w:hAnsi="Arial" w:hint="cs"/>
          <w:noProof w:val="0"/>
          <w:rtl/>
        </w:rPr>
        <w:t xml:space="preserve"> אי מתן החלטה בהשגה בתוך 120 ימים ממועד הגשתה, על החלטת ועדת הערר לענייני קורונה </w:t>
      </w:r>
      <w:r>
        <w:rPr>
          <w:rFonts w:ascii="Arial" w:hAnsi="Arial"/>
          <w:noProof w:val="0"/>
          <w:rtl/>
        </w:rPr>
        <w:t>–</w:t>
      </w:r>
      <w:r>
        <w:rPr>
          <w:rFonts w:ascii="Arial" w:hAnsi="Arial" w:hint="cs"/>
          <w:noProof w:val="0"/>
          <w:rtl/>
        </w:rPr>
        <w:t xml:space="preserve"> השתתפות בהוצאות קבועות לעסקים לפי חוק התכנית לסיוע כלכלי (נגיף הקורונה החדש) (</w:t>
      </w:r>
      <w:r w:rsidR="00461744">
        <w:rPr>
          <w:rFonts w:ascii="Arial" w:hAnsi="Arial" w:hint="cs"/>
          <w:noProof w:val="0"/>
          <w:rtl/>
        </w:rPr>
        <w:t xml:space="preserve">הוראת </w:t>
      </w:r>
      <w:r>
        <w:rPr>
          <w:rFonts w:ascii="Arial" w:hAnsi="Arial" w:hint="cs"/>
          <w:noProof w:val="0"/>
          <w:rtl/>
        </w:rPr>
        <w:t xml:space="preserve">שעה), </w:t>
      </w:r>
      <w:r w:rsidR="00461744">
        <w:rPr>
          <w:rFonts w:ascii="Arial" w:hAnsi="Arial" w:hint="cs"/>
          <w:noProof w:val="0"/>
          <w:rtl/>
        </w:rPr>
        <w:t xml:space="preserve">התש"ף-2000. </w:t>
      </w:r>
      <w:r>
        <w:rPr>
          <w:rFonts w:ascii="Arial" w:hAnsi="Arial" w:hint="cs"/>
          <w:noProof w:val="0"/>
          <w:rtl/>
        </w:rPr>
        <w:t xml:space="preserve">נקבע כי בהיעדר קביעה מפורשת בחוק המטילה "סנקציה" מפורשת על אי עמידה במועד זה, אין משמעותה של אי מתן החלטה במסגרת הזמן שנקבעה בחוק, היא קבלה "אוטומטית" של ההשגה. נקבע, כי זוהי תוצאה קיצונית יחסית, המוצדקת רק במקרה שבו קיים הסדר סטטוטורי מפורש בעניין זה, </w:t>
      </w:r>
      <w:r w:rsidR="000F5DA9">
        <w:rPr>
          <w:rFonts w:ascii="Arial" w:hAnsi="Arial" w:hint="cs"/>
          <w:noProof w:val="0"/>
          <w:rtl/>
        </w:rPr>
        <w:t>כמו זה הקיים בסעיפים 26(א) לחוק רכוש וקרן פיצויים, התשכ"א-1961, סעיף 152 לפקודה, סעיף 87(ו) לחוק מיסוי מקרקעין (שבח ורכישה), התשכ"ג-1963, וסעיף 4(ב) לחוק הרשויות המקומיות (ערר על קביעת ארנונה כללית), התשל"ו-1976.</w:t>
      </w:r>
    </w:p>
    <w:p w:rsidR="000F5DA9" w:rsidRPr="000F5DA9" w:rsidRDefault="000F5DA9" w:rsidP="000F5DA9">
      <w:pPr>
        <w:pStyle w:val="ad"/>
        <w:rPr>
          <w:rFonts w:ascii="Arial" w:hAnsi="Arial"/>
          <w:noProof w:val="0"/>
          <w:rtl/>
        </w:rPr>
      </w:pPr>
    </w:p>
    <w:p w:rsidR="000F5DA9" w:rsidRDefault="000F5DA9" w:rsidP="005937A3">
      <w:pPr>
        <w:pStyle w:val="ad"/>
        <w:numPr>
          <w:ilvl w:val="0"/>
          <w:numId w:val="1"/>
        </w:numPr>
        <w:spacing w:line="360" w:lineRule="auto"/>
        <w:jc w:val="both"/>
        <w:rPr>
          <w:rFonts w:ascii="Arial" w:hAnsi="Arial"/>
          <w:noProof w:val="0"/>
        </w:rPr>
      </w:pPr>
      <w:r>
        <w:rPr>
          <w:rFonts w:ascii="Arial" w:hAnsi="Arial" w:hint="cs"/>
          <w:noProof w:val="0"/>
          <w:rtl/>
        </w:rPr>
        <w:t>בענייננו, המחוקק לא קבע מסגרת זמן מוגדר</w:t>
      </w:r>
      <w:r w:rsidR="00461744">
        <w:rPr>
          <w:rFonts w:ascii="Arial" w:hAnsi="Arial" w:hint="cs"/>
          <w:noProof w:val="0"/>
          <w:rtl/>
        </w:rPr>
        <w:t>ת</w:t>
      </w:r>
      <w:r>
        <w:rPr>
          <w:rFonts w:ascii="Arial" w:hAnsi="Arial" w:hint="cs"/>
          <w:noProof w:val="0"/>
          <w:rtl/>
        </w:rPr>
        <w:t xml:space="preserve"> להחלטת פקיד השומה בבקשה לעיון חוזר בהחלטת פסילת ספרים ובוודאי שלא נקבעה "סנקציה" מפורשת לאי עמידה במועד מסוים. בנסיבות אלה, איני סבור שיש לקבל את טענת המערערת, שכן לא ניתן לקבוע כי אי מתן החלטה בבקשה, תוצאתה היא כי יראו את בקשתה "כאילו התקבלה". </w:t>
      </w:r>
    </w:p>
    <w:p w:rsidR="000F5DA9" w:rsidRPr="000F5DA9" w:rsidRDefault="000F5DA9" w:rsidP="000F5DA9">
      <w:pPr>
        <w:pStyle w:val="ad"/>
        <w:rPr>
          <w:rFonts w:ascii="Arial" w:hAnsi="Arial"/>
          <w:noProof w:val="0"/>
          <w:rtl/>
        </w:rPr>
      </w:pPr>
    </w:p>
    <w:p w:rsidR="000F5DA9" w:rsidRDefault="000F5DA9" w:rsidP="005937A3">
      <w:pPr>
        <w:pStyle w:val="ad"/>
        <w:numPr>
          <w:ilvl w:val="0"/>
          <w:numId w:val="1"/>
        </w:numPr>
        <w:spacing w:line="360" w:lineRule="auto"/>
        <w:jc w:val="both"/>
        <w:rPr>
          <w:rFonts w:ascii="Arial" w:hAnsi="Arial"/>
          <w:noProof w:val="0"/>
        </w:rPr>
      </w:pPr>
      <w:r>
        <w:rPr>
          <w:rFonts w:ascii="Arial" w:hAnsi="Arial" w:hint="cs"/>
          <w:noProof w:val="0"/>
          <w:rtl/>
        </w:rPr>
        <w:t xml:space="preserve">המערערת טענה כי לא ייתכן שלא תחול שום מגבלת זמן להחלטה בבקשה לעיון חוזר בהחלטת </w:t>
      </w:r>
      <w:r w:rsidR="00A71E5D">
        <w:rPr>
          <w:rFonts w:ascii="Arial" w:hAnsi="Arial" w:hint="cs"/>
          <w:noProof w:val="0"/>
          <w:rtl/>
        </w:rPr>
        <w:t>פסילה, בעוד שלנישום יוקצב זמן לה</w:t>
      </w:r>
      <w:r>
        <w:rPr>
          <w:rFonts w:ascii="Arial" w:hAnsi="Arial" w:hint="cs"/>
          <w:noProof w:val="0"/>
          <w:rtl/>
        </w:rPr>
        <w:t>גשת הבקשה, ואם לא יגיש בק</w:t>
      </w:r>
      <w:r w:rsidR="00A71E5D">
        <w:rPr>
          <w:rFonts w:ascii="Arial" w:hAnsi="Arial" w:hint="cs"/>
          <w:noProof w:val="0"/>
          <w:rtl/>
        </w:rPr>
        <w:t xml:space="preserve">שה, תיהפך החלטת הפסילה לסופית. אין מחלוקת, כי קיימת חובת הגינות מנהלית מצד פקיד השומה, אולם נראה כי במקרה זה, אי מתן ההחלטה מקורו בטעות של פקיד השומה, שסבר (באופן מוטעה) כי לא הוגשה בקשה כלל ומשום כך, לא דן בה ולא הכריע בה. </w:t>
      </w:r>
    </w:p>
    <w:p w:rsidR="00A71E5D" w:rsidRPr="00A71E5D" w:rsidRDefault="00A71E5D" w:rsidP="00A71E5D">
      <w:pPr>
        <w:pStyle w:val="ad"/>
        <w:rPr>
          <w:rFonts w:ascii="Arial" w:hAnsi="Arial"/>
          <w:noProof w:val="0"/>
          <w:rtl/>
        </w:rPr>
      </w:pPr>
    </w:p>
    <w:p w:rsidR="00A71E5D" w:rsidRDefault="00A71E5D" w:rsidP="005937A3">
      <w:pPr>
        <w:pStyle w:val="ad"/>
        <w:numPr>
          <w:ilvl w:val="0"/>
          <w:numId w:val="1"/>
        </w:numPr>
        <w:spacing w:line="360" w:lineRule="auto"/>
        <w:jc w:val="both"/>
        <w:rPr>
          <w:rFonts w:ascii="Arial" w:hAnsi="Arial"/>
          <w:noProof w:val="0"/>
        </w:rPr>
      </w:pPr>
      <w:r>
        <w:rPr>
          <w:rFonts w:ascii="Arial" w:hAnsi="Arial" w:hint="cs"/>
          <w:noProof w:val="0"/>
          <w:rtl/>
        </w:rPr>
        <w:t>האם אין כל משמעות להתעלמות פקיד השומה מן הבקשה שהוגשה בעניין פסילת הספרים? בעניין פודולסקי נקבעו הדברים הבאים בהקשר זה (פסקה 24):</w:t>
      </w:r>
    </w:p>
    <w:p w:rsidR="00A71E5D" w:rsidRPr="00A71E5D" w:rsidRDefault="00A71E5D" w:rsidP="00A71E5D">
      <w:pPr>
        <w:pStyle w:val="ad"/>
        <w:rPr>
          <w:rFonts w:ascii="Arial" w:hAnsi="Arial"/>
          <w:noProof w:val="0"/>
          <w:rtl/>
        </w:rPr>
      </w:pPr>
    </w:p>
    <w:p w:rsidR="00A71E5D" w:rsidRDefault="00A71E5D" w:rsidP="00A71E5D">
      <w:pPr>
        <w:pStyle w:val="ad"/>
        <w:spacing w:line="360" w:lineRule="auto"/>
        <w:ind w:left="1440"/>
        <w:jc w:val="both"/>
        <w:rPr>
          <w:rFonts w:ascii="Arial" w:hAnsi="Arial"/>
          <w:b/>
          <w:bCs/>
          <w:noProof w:val="0"/>
          <w:rtl/>
        </w:rPr>
      </w:pPr>
      <w:r>
        <w:rPr>
          <w:rFonts w:ascii="Arial" w:hAnsi="Arial" w:hint="cs"/>
          <w:b/>
          <w:bCs/>
          <w:noProof w:val="0"/>
          <w:rtl/>
        </w:rPr>
        <w:t>"אי עמידה במועד הקבוע לא תביא אמנם לקבלת ההשגה באופן אוטומטי, ואולם במקרה זה על רשות המיסים יוטל נטל הראיה להוכיח כי ההחלטה על דחיית ההשגה הייתה נכונה, מבלי שחזקת התקינות המינהלית תעמוד לימינה."</w:t>
      </w:r>
    </w:p>
    <w:p w:rsidR="00A71E5D" w:rsidRDefault="00A71E5D" w:rsidP="00A71E5D">
      <w:pPr>
        <w:spacing w:line="360" w:lineRule="auto"/>
        <w:jc w:val="both"/>
        <w:rPr>
          <w:rFonts w:ascii="Arial" w:hAnsi="Arial"/>
          <w:noProof w:val="0"/>
          <w:rtl/>
        </w:rPr>
      </w:pPr>
    </w:p>
    <w:p w:rsidR="00A71E5D" w:rsidRDefault="00A71E5D" w:rsidP="00461744">
      <w:pPr>
        <w:spacing w:line="360" w:lineRule="auto"/>
        <w:ind w:left="720"/>
        <w:jc w:val="both"/>
        <w:rPr>
          <w:rFonts w:ascii="Arial" w:hAnsi="Arial"/>
          <w:noProof w:val="0"/>
          <w:rtl/>
        </w:rPr>
      </w:pPr>
      <w:r>
        <w:rPr>
          <w:rFonts w:ascii="Arial" w:hAnsi="Arial" w:hint="cs"/>
          <w:noProof w:val="0"/>
          <w:rtl/>
        </w:rPr>
        <w:t xml:space="preserve">בענייננו, המשיב לא קיבל החלטה </w:t>
      </w:r>
      <w:r w:rsidR="00461744">
        <w:rPr>
          <w:rFonts w:ascii="Arial" w:hAnsi="Arial" w:hint="cs"/>
          <w:noProof w:val="0"/>
          <w:rtl/>
        </w:rPr>
        <w:t>בדבר</w:t>
      </w:r>
      <w:r>
        <w:rPr>
          <w:rFonts w:ascii="Arial" w:hAnsi="Arial" w:hint="cs"/>
          <w:noProof w:val="0"/>
          <w:rtl/>
        </w:rPr>
        <w:t xml:space="preserve"> דחיית הבקשה לעיון חוזר, וכלל לא דן בבקשה. משום כך, קביעה זו איננה יכולה לסייע למערערת. יחד עם זאת, ניתן להביא בחשבון את אי מתן ההחלטה במסגרת השיקולים שיש לשקול בבקשת המערערת לחיוב המשיב בהוצאות. </w:t>
      </w:r>
    </w:p>
    <w:p w:rsidR="00694556" w:rsidRDefault="00694556">
      <w:pPr>
        <w:spacing w:line="360" w:lineRule="auto"/>
        <w:jc w:val="both"/>
        <w:rPr>
          <w:rFonts w:ascii="Arial" w:hAnsi="Arial"/>
          <w:noProof w:val="0"/>
          <w:rtl/>
        </w:rPr>
      </w:pPr>
    </w:p>
    <w:p w:rsidR="00A71E5D" w:rsidRDefault="00A71E5D" w:rsidP="00A71E5D">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לסיכום סוגית אי מתן ההחלטה בבקשה לעיון חוזר אציין כי אין מקום לקבל את בקשת המערערת למתן פסק דין המבטל את החלטת הפסילה. נסיבות העניין מצדיקות אף הן את החזרת התיק לשלב ההשגה, שבו יכריע המשיב גם בבקשה לעיון חוזר. </w:t>
      </w:r>
    </w:p>
    <w:p w:rsidR="00A71E5D" w:rsidRDefault="00A71E5D" w:rsidP="00A71E5D">
      <w:pPr>
        <w:spacing w:line="360" w:lineRule="auto"/>
        <w:jc w:val="both"/>
        <w:rPr>
          <w:rFonts w:ascii="Arial" w:hAnsi="Arial"/>
          <w:noProof w:val="0"/>
          <w:rtl/>
        </w:rPr>
      </w:pPr>
    </w:p>
    <w:p w:rsidR="00A71E5D" w:rsidRDefault="00A71E5D" w:rsidP="00A71E5D">
      <w:pPr>
        <w:spacing w:line="360" w:lineRule="auto"/>
        <w:jc w:val="both"/>
        <w:rPr>
          <w:rFonts w:ascii="Arial" w:hAnsi="Arial"/>
          <w:b/>
          <w:bCs/>
          <w:noProof w:val="0"/>
          <w:u w:val="single"/>
          <w:rtl/>
        </w:rPr>
      </w:pPr>
      <w:r>
        <w:rPr>
          <w:rFonts w:ascii="Arial" w:hAnsi="Arial" w:hint="cs"/>
          <w:b/>
          <w:bCs/>
          <w:noProof w:val="0"/>
          <w:u w:val="single"/>
          <w:rtl/>
        </w:rPr>
        <w:t>סוף דבר</w:t>
      </w:r>
    </w:p>
    <w:p w:rsidR="00A71E5D" w:rsidRDefault="00A71E5D" w:rsidP="00A71E5D">
      <w:pPr>
        <w:pStyle w:val="ad"/>
        <w:numPr>
          <w:ilvl w:val="0"/>
          <w:numId w:val="1"/>
        </w:numPr>
        <w:spacing w:line="360" w:lineRule="auto"/>
        <w:jc w:val="both"/>
        <w:rPr>
          <w:rFonts w:ascii="Arial" w:hAnsi="Arial"/>
          <w:noProof w:val="0"/>
        </w:rPr>
      </w:pPr>
      <w:r>
        <w:rPr>
          <w:rFonts w:ascii="Arial" w:hAnsi="Arial" w:hint="cs"/>
          <w:noProof w:val="0"/>
          <w:rtl/>
        </w:rPr>
        <w:t xml:space="preserve">העולה מן המקובץ הוא שיש מקום למתן פסק דין, המורה על החזרת התיק בעניינה של המערערת לשלב ההשגה. על המשיב לדון בבקשה לעיון חוזר בבקשת פסילת הספרים ולקבל בה החלטה. בנוסף, על המשיב לקיים </w:t>
      </w:r>
      <w:r w:rsidR="00FE1C3C">
        <w:rPr>
          <w:rFonts w:ascii="Arial" w:hAnsi="Arial" w:hint="cs"/>
          <w:noProof w:val="0"/>
          <w:rtl/>
        </w:rPr>
        <w:t>דיון ב</w:t>
      </w:r>
      <w:r>
        <w:rPr>
          <w:rFonts w:ascii="Arial" w:hAnsi="Arial" w:hint="cs"/>
          <w:noProof w:val="0"/>
          <w:rtl/>
        </w:rPr>
        <w:t>השגה ולדון בטענות המערערת שפו</w:t>
      </w:r>
      <w:r w:rsidR="001D12F8">
        <w:rPr>
          <w:rFonts w:ascii="Arial" w:hAnsi="Arial" w:hint="cs"/>
          <w:noProof w:val="0"/>
          <w:rtl/>
        </w:rPr>
        <w:t xml:space="preserve">רטו בהשגה ולקבל החלטה חדשה בנוגע לקביעת המס בצו, ככול שלא יושג הסכם בין הצדדים. </w:t>
      </w:r>
    </w:p>
    <w:p w:rsidR="001D12F8" w:rsidRDefault="001D12F8" w:rsidP="001D12F8">
      <w:pPr>
        <w:pStyle w:val="ad"/>
        <w:spacing w:line="360" w:lineRule="auto"/>
        <w:jc w:val="both"/>
        <w:rPr>
          <w:rFonts w:ascii="Arial" w:hAnsi="Arial"/>
          <w:noProof w:val="0"/>
          <w:rtl/>
        </w:rPr>
      </w:pPr>
    </w:p>
    <w:p w:rsidR="001D12F8" w:rsidRDefault="001D12F8" w:rsidP="001D12F8">
      <w:pPr>
        <w:pStyle w:val="ad"/>
        <w:numPr>
          <w:ilvl w:val="0"/>
          <w:numId w:val="1"/>
        </w:numPr>
        <w:spacing w:line="360" w:lineRule="auto"/>
        <w:jc w:val="both"/>
        <w:rPr>
          <w:rFonts w:ascii="Arial" w:hAnsi="Arial"/>
          <w:noProof w:val="0"/>
        </w:rPr>
      </w:pPr>
      <w:r>
        <w:rPr>
          <w:rFonts w:ascii="Arial" w:hAnsi="Arial" w:hint="cs"/>
          <w:noProof w:val="0"/>
          <w:rtl/>
        </w:rPr>
        <w:t xml:space="preserve">בסוגית הוצאות ההליך, צודקת המערערת. לערעור שהגישה המערערת היה מקום, הן ביחס לאי קיום דיון ממצה בהשגה ובמיוחד לגבי אי קבלת החלטה בבקשה לעיון חוזר בבקשת הפסילה. המשיב סבר שבקשה כאמור לא הוגשה, דבר שהתברר כסברה שגויה ובכך נפל פגם בהתנהלות המשיב. בנסיבות אלה נקבע בזאת, כי המשיב ישלם למערערת הוצאות ושכר טרחת עורך דין בסכום כולל של 5,000 ₪, אשר ישולם תוך 45 ימים מהיום. לאחר מועד זה, יתווספו לסכום החיוב הפרשי הצמדה וריבית כחוק. </w:t>
      </w:r>
    </w:p>
    <w:p w:rsidR="001D12F8" w:rsidRPr="001D12F8" w:rsidRDefault="001D12F8" w:rsidP="001D12F8">
      <w:pPr>
        <w:pStyle w:val="ad"/>
        <w:rPr>
          <w:rFonts w:ascii="Arial" w:hAnsi="Arial"/>
          <w:noProof w:val="0"/>
          <w:rtl/>
        </w:rPr>
      </w:pPr>
    </w:p>
    <w:p w:rsidR="001D12F8" w:rsidRDefault="001D12F8" w:rsidP="001D12F8">
      <w:pPr>
        <w:pStyle w:val="ad"/>
        <w:spacing w:line="360" w:lineRule="auto"/>
        <w:jc w:val="both"/>
        <w:rPr>
          <w:rFonts w:ascii="Arial" w:hAnsi="Arial"/>
          <w:noProof w:val="0"/>
          <w:rtl/>
        </w:rPr>
      </w:pPr>
      <w:r>
        <w:rPr>
          <w:rFonts w:ascii="Arial" w:hAnsi="Arial" w:hint="cs"/>
          <w:b/>
          <w:bCs/>
          <w:noProof w:val="0"/>
          <w:rtl/>
        </w:rPr>
        <w:t xml:space="preserve">המזכירות תמציא את פסק הדין לבאי כוח הצדדים. </w:t>
      </w:r>
    </w:p>
    <w:p w:rsidR="00FE1C3C" w:rsidRPr="001D12F8" w:rsidRDefault="00FE1C3C" w:rsidP="001D12F8">
      <w:pPr>
        <w:pStyle w:val="ad"/>
        <w:spacing w:line="360" w:lineRule="auto"/>
        <w:jc w:val="both"/>
        <w:rPr>
          <w:rFonts w:ascii="Arial" w:hAnsi="Arial"/>
          <w:noProof w:val="0"/>
          <w:rtl/>
        </w:rPr>
      </w:pPr>
      <w:r>
        <w:rPr>
          <w:rFonts w:ascii="Arial" w:hAnsi="Arial" w:hint="cs"/>
          <w:noProof w:val="0"/>
          <w:rtl/>
        </w:rPr>
        <w:t>ניתן לפרסם את פסק הדין.</w:t>
      </w:r>
    </w:p>
    <w:p w:rsidR="00694556" w:rsidRDefault="00694556">
      <w:pPr>
        <w:spacing w:line="360" w:lineRule="auto"/>
        <w:jc w:val="both"/>
        <w:rPr>
          <w:rFonts w:ascii="Arial" w:hAnsi="Arial"/>
          <w:noProof w:val="0"/>
          <w:rtl/>
        </w:rPr>
      </w:pPr>
    </w:p>
    <w:p w:rsidR="00694556" w:rsidRDefault="00005C8B" w:rsidP="001D12F8">
      <w:pPr>
        <w:spacing w:line="360" w:lineRule="auto"/>
        <w:ind w:firstLine="720"/>
        <w:jc w:val="both"/>
        <w:rPr>
          <w:rFonts w:ascii="Arial" w:hAnsi="Arial"/>
          <w:noProof w:val="0"/>
          <w:rtl/>
        </w:rPr>
      </w:pPr>
      <w:r>
        <w:rPr>
          <w:rFonts w:ascii="Arial" w:hAnsi="Arial"/>
          <w:noProof w:val="0"/>
          <w:rtl/>
        </w:rPr>
        <w:t>ניתן היום,  ט"ז סיוון תשפ"ג, 05 יוני 2023, בהעדר הצדדים.</w:t>
      </w:r>
    </w:p>
    <w:p w:rsidR="00694556" w:rsidRDefault="00694556">
      <w:pPr>
        <w:spacing w:line="360" w:lineRule="auto"/>
        <w:jc w:val="both"/>
        <w:rPr>
          <w:rFonts w:ascii="Arial" w:hAnsi="Arial"/>
          <w:noProof w:val="0"/>
          <w:rtl/>
        </w:rPr>
      </w:pPr>
    </w:p>
    <w:p w:rsidR="00AC64F2" w:rsidRDefault="00AC64F2" w:rsidP="00AC64F2">
      <w:pPr>
        <w:jc w:val="center"/>
        <w:rPr>
          <w:noProof w:val="0"/>
          <w:sz w:val="26"/>
          <w:szCs w:val="26"/>
        </w:rPr>
      </w:pPr>
    </w:p>
    <w:tbl>
      <w:tblPr>
        <w:tblStyle w:val="a9"/>
        <w:bidiVisual/>
        <w:tblW w:w="3708" w:type="dxa"/>
        <w:tblInd w:w="493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AC64F2" w:rsidTr="00AC64F2">
        <w:trPr>
          <w:trHeight w:val="364"/>
        </w:trPr>
        <w:tc>
          <w:tcPr>
            <w:tcW w:w="3708" w:type="dxa"/>
            <w:tcBorders>
              <w:top w:val="nil"/>
              <w:left w:val="nil"/>
              <w:bottom w:val="single" w:sz="4" w:space="0" w:color="auto"/>
              <w:right w:val="nil"/>
            </w:tcBorders>
          </w:tcPr>
          <w:p w:rsidR="00AC64F2" w:rsidRDefault="00356BDA">
            <w:pPr>
              <w:jc w:val="center"/>
            </w:pPr>
            <w:sdt>
              <w:sdtPr>
                <w:rPr>
                  <w:rFonts w:cs="Times New Roman"/>
                  <w:rtl/>
                </w:rPr>
                <w:alias w:val="MergeField"/>
                <w:tag w:val="2144"/>
                <w:id w:val="-280428779"/>
              </w:sdtPr>
              <w:sdtEndPr/>
              <w:sdtContent>
                <w:r w:rsidR="00AC64F2">
                  <w:drawing>
                    <wp:inline distT="0" distB="0" distL="0" distR="0">
                      <wp:extent cx="1514475" cy="572135"/>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4475" cy="572135"/>
                              </a:xfrm>
                              <a:prstGeom prst="rect">
                                <a:avLst/>
                              </a:prstGeom>
                              <a:noFill/>
                              <a:ln>
                                <a:noFill/>
                              </a:ln>
                            </pic:spPr>
                          </pic:pic>
                        </a:graphicData>
                      </a:graphic>
                    </wp:inline>
                  </w:drawing>
                </w:r>
              </w:sdtContent>
            </w:sdt>
          </w:p>
          <w:p w:rsidR="00AC64F2" w:rsidRDefault="00AC64F2">
            <w:pPr>
              <w:jc w:val="center"/>
              <w:rPr>
                <w:sz w:val="26"/>
                <w:szCs w:val="26"/>
                <w:rtl/>
              </w:rPr>
            </w:pPr>
          </w:p>
        </w:tc>
      </w:tr>
      <w:tr w:rsidR="00AC64F2" w:rsidTr="00AC64F2">
        <w:trPr>
          <w:trHeight w:val="415"/>
        </w:trPr>
        <w:tc>
          <w:tcPr>
            <w:tcW w:w="3708" w:type="dxa"/>
            <w:tcBorders>
              <w:top w:val="single" w:sz="4" w:space="0" w:color="auto"/>
              <w:left w:val="nil"/>
              <w:bottom w:val="nil"/>
              <w:right w:val="nil"/>
            </w:tcBorders>
            <w:hideMark/>
          </w:tcPr>
          <w:p w:rsidR="00AC64F2" w:rsidRDefault="00356BDA">
            <w:pPr>
              <w:jc w:val="center"/>
              <w:rPr>
                <w:b/>
                <w:bCs/>
                <w:sz w:val="26"/>
                <w:szCs w:val="26"/>
              </w:rPr>
            </w:pPr>
            <w:sdt>
              <w:sdtPr>
                <w:rPr>
                  <w:rFonts w:hint="cs"/>
                  <w:rtl/>
                </w:rPr>
                <w:alias w:val="2141"/>
                <w:tag w:val="2141"/>
                <w:id w:val="424146769"/>
                <w:text w:multiLine="1"/>
              </w:sdtPr>
              <w:sdtEndPr/>
              <w:sdtContent>
                <w:r w:rsidR="00AC64F2">
                  <w:rPr>
                    <w:rFonts w:hint="cs"/>
                    <w:b/>
                    <w:bCs/>
                    <w:sz w:val="26"/>
                    <w:szCs w:val="26"/>
                    <w:rtl/>
                  </w:rPr>
                  <w:t>אביגדור</w:t>
                </w:r>
              </w:sdtContent>
            </w:sdt>
            <w:r w:rsidR="00AC64F2">
              <w:rPr>
                <w:rFonts w:hint="cs"/>
                <w:b/>
                <w:bCs/>
                <w:sz w:val="26"/>
                <w:szCs w:val="26"/>
                <w:rtl/>
              </w:rPr>
              <w:t xml:space="preserve"> </w:t>
            </w:r>
            <w:sdt>
              <w:sdtPr>
                <w:rPr>
                  <w:rFonts w:cs="Times New Roman"/>
                  <w:rtl/>
                </w:rPr>
                <w:alias w:val="2142"/>
                <w:tag w:val="2142"/>
                <w:id w:val="1434550607"/>
                <w:text w:multiLine="1"/>
              </w:sdtPr>
              <w:sdtEndPr/>
              <w:sdtContent>
                <w:r w:rsidR="00AC64F2">
                  <w:rPr>
                    <w:b/>
                    <w:bCs/>
                    <w:sz w:val="26"/>
                    <w:szCs w:val="26"/>
                    <w:rtl/>
                  </w:rPr>
                  <w:t>דורות</w:t>
                </w:r>
              </w:sdtContent>
            </w:sdt>
            <w:r w:rsidR="00AC64F2">
              <w:rPr>
                <w:rFonts w:hint="cs"/>
                <w:b/>
                <w:bCs/>
                <w:sz w:val="26"/>
                <w:szCs w:val="26"/>
                <w:rtl/>
              </w:rPr>
              <w:t xml:space="preserve">, </w:t>
            </w:r>
            <w:sdt>
              <w:sdtPr>
                <w:rPr>
                  <w:rFonts w:cs="Times New Roman"/>
                  <w:rtl/>
                </w:rPr>
                <w:alias w:val="2143"/>
                <w:tag w:val="2143"/>
                <w:id w:val="148415121"/>
                <w:text w:multiLine="1"/>
              </w:sdtPr>
              <w:sdtEndPr/>
              <w:sdtContent>
                <w:r w:rsidR="00AC64F2">
                  <w:rPr>
                    <w:b/>
                    <w:bCs/>
                    <w:sz w:val="26"/>
                    <w:szCs w:val="26"/>
                    <w:rtl/>
                  </w:rPr>
                  <w:t>שופט</w:t>
                </w:r>
              </w:sdtContent>
            </w:sdt>
          </w:p>
        </w:tc>
      </w:tr>
    </w:tbl>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BDA" w:rsidRDefault="00356BDA">
      <w:r>
        <w:separator/>
      </w:r>
    </w:p>
  </w:endnote>
  <w:endnote w:type="continuationSeparator" w:id="0">
    <w:p w:rsidR="00356BDA" w:rsidRDefault="00356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835" w:rsidRDefault="00B9083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9083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90835">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835" w:rsidRDefault="00B9083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BDA" w:rsidRDefault="00356BDA">
      <w:r>
        <w:separator/>
      </w:r>
    </w:p>
  </w:footnote>
  <w:footnote w:type="continuationSeparator" w:id="0">
    <w:p w:rsidR="00356BDA" w:rsidRDefault="00356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835" w:rsidRDefault="00B9083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005C8B">
          <w:pPr>
            <w:pStyle w:val="a3"/>
            <w:jc w:val="right"/>
            <w:rPr>
              <w:b/>
              <w:bCs/>
              <w:noProof w:val="0"/>
              <w:sz w:val="26"/>
              <w:szCs w:val="26"/>
              <w:rtl/>
            </w:rPr>
          </w:pPr>
          <w:r>
            <w:rPr>
              <w:b/>
              <w:bCs/>
              <w:noProof w:val="0"/>
              <w:sz w:val="26"/>
              <w:szCs w:val="26"/>
              <w:rtl/>
            </w:rPr>
            <w:t>05 יוני 2023</w:t>
          </w:r>
        </w:p>
      </w:tc>
    </w:tr>
    <w:tr w:rsidR="00694556">
      <w:trPr>
        <w:trHeight w:val="337"/>
        <w:jc w:val="center"/>
      </w:trPr>
      <w:tc>
        <w:tcPr>
          <w:tcW w:w="8721" w:type="dxa"/>
          <w:gridSpan w:val="2"/>
        </w:tcPr>
        <w:p w:rsidR="002D6B88" w:rsidRDefault="00986101" w:rsidP="00233B89">
          <w:pPr>
            <w:rPr>
              <w:rtl/>
            </w:rPr>
          </w:pPr>
          <w:r>
            <w:rPr>
              <w:b/>
              <w:bCs/>
              <w:noProof w:val="0"/>
              <w:sz w:val="26"/>
              <w:szCs w:val="26"/>
              <w:rtl/>
            </w:rPr>
            <w:t>ע"מ</w:t>
          </w:r>
          <w:r w:rsidR="00005C8B">
            <w:rPr>
              <w:b/>
              <w:bCs/>
              <w:noProof w:val="0"/>
              <w:sz w:val="26"/>
              <w:szCs w:val="26"/>
              <w:rtl/>
            </w:rPr>
            <w:t xml:space="preserve"> </w:t>
          </w:r>
          <w:bookmarkStart w:id="0" w:name="_GoBack"/>
          <w:r>
            <w:rPr>
              <w:b/>
              <w:bCs/>
              <w:noProof w:val="0"/>
              <w:sz w:val="26"/>
              <w:szCs w:val="26"/>
              <w:rtl/>
            </w:rPr>
            <w:t>8617-06-20</w:t>
          </w:r>
          <w:bookmarkEnd w:id="0"/>
          <w:r w:rsidR="00005C8B">
            <w:rPr>
              <w:b/>
              <w:bCs/>
              <w:noProof w:val="0"/>
              <w:sz w:val="26"/>
              <w:szCs w:val="26"/>
              <w:rtl/>
            </w:rPr>
            <w:t xml:space="preserve"> </w:t>
          </w:r>
          <w:r>
            <w:rPr>
              <w:b/>
              <w:bCs/>
              <w:noProof w:val="0"/>
              <w:sz w:val="26"/>
              <w:szCs w:val="26"/>
              <w:rtl/>
            </w:rPr>
            <w:t>חברת אמוקו לשמנים ודלק בע"מ נ' פקיד שומה ירושלים (2)</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835" w:rsidRDefault="00B9083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D404BF"/>
    <w:multiLevelType w:val="hybridMultilevel"/>
    <w:tmpl w:val="EA345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6C35"/>
    <w:rsid w:val="000564AB"/>
    <w:rsid w:val="00060C9D"/>
    <w:rsid w:val="000F5DA9"/>
    <w:rsid w:val="0014234E"/>
    <w:rsid w:val="00185DB8"/>
    <w:rsid w:val="001C4003"/>
    <w:rsid w:val="001D12F8"/>
    <w:rsid w:val="00233B89"/>
    <w:rsid w:val="002C070D"/>
    <w:rsid w:val="002D6B88"/>
    <w:rsid w:val="002E727C"/>
    <w:rsid w:val="00356BDA"/>
    <w:rsid w:val="003944DB"/>
    <w:rsid w:val="00461744"/>
    <w:rsid w:val="004E6E3C"/>
    <w:rsid w:val="00547DB7"/>
    <w:rsid w:val="005937A3"/>
    <w:rsid w:val="00622BAA"/>
    <w:rsid w:val="00625C89"/>
    <w:rsid w:val="00671BD5"/>
    <w:rsid w:val="006805C1"/>
    <w:rsid w:val="00694556"/>
    <w:rsid w:val="006B23BF"/>
    <w:rsid w:val="006E1A53"/>
    <w:rsid w:val="007056AA"/>
    <w:rsid w:val="007A24FE"/>
    <w:rsid w:val="007E5FC9"/>
    <w:rsid w:val="00801C09"/>
    <w:rsid w:val="00820005"/>
    <w:rsid w:val="00846D27"/>
    <w:rsid w:val="00903896"/>
    <w:rsid w:val="00910591"/>
    <w:rsid w:val="00986101"/>
    <w:rsid w:val="00A03742"/>
    <w:rsid w:val="00A71E5D"/>
    <w:rsid w:val="00A8118E"/>
    <w:rsid w:val="00AC64F2"/>
    <w:rsid w:val="00AF1ED6"/>
    <w:rsid w:val="00B80CBD"/>
    <w:rsid w:val="00B90835"/>
    <w:rsid w:val="00CE0AC5"/>
    <w:rsid w:val="00D26588"/>
    <w:rsid w:val="00D53924"/>
    <w:rsid w:val="00D96D8C"/>
    <w:rsid w:val="00E54642"/>
    <w:rsid w:val="00E97908"/>
    <w:rsid w:val="00F64BC8"/>
    <w:rsid w:val="00FE1C3C"/>
    <w:rsid w:val="00FE7E2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7569B2-2FB9-4FB7-B560-8B5652F70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paragraph" w:styleId="ad">
    <w:name w:val="List Paragraph"/>
    <w:basedOn w:val="a"/>
    <w:uiPriority w:val="34"/>
    <w:qFormat/>
    <w:rsid w:val="00233B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7796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1183</Words>
  <Characters>5919</Characters>
  <Application>Microsoft Office Word</Application>
  <DocSecurity>0</DocSecurity>
  <Lines>49</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2023-06-05T13:45:00Z</cp:lastPrinted>
  <dcterms:created xsi:type="dcterms:W3CDTF">2023-06-08T12:56:00Z</dcterms:created>
  <dcterms:modified xsi:type="dcterms:W3CDTF">2023-06-08T12:56:00Z</dcterms:modified>
</cp:coreProperties>
</file>